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4" w:type="dxa"/>
        <w:tblCellSpacing w:w="0" w:type="dxa"/>
        <w:tblCellMar>
          <w:left w:w="0" w:type="dxa"/>
          <w:right w:w="0" w:type="dxa"/>
        </w:tblCellMar>
        <w:tblLook w:val="0000" w:firstRow="0" w:lastRow="0" w:firstColumn="0" w:lastColumn="0" w:noHBand="0" w:noVBand="0"/>
      </w:tblPr>
      <w:tblGrid>
        <w:gridCol w:w="10118"/>
        <w:gridCol w:w="6"/>
      </w:tblGrid>
      <w:tr w:rsidR="00103601" w14:paraId="35C8443B" w14:textId="77777777">
        <w:trPr>
          <w:tblCellSpacing w:w="0" w:type="dxa"/>
        </w:trPr>
        <w:tc>
          <w:tcPr>
            <w:tcW w:w="0" w:type="auto"/>
            <w:gridSpan w:val="2"/>
            <w:vAlign w:val="center"/>
          </w:tcPr>
          <w:p w14:paraId="170BABBE" w14:textId="77777777" w:rsidR="00103601" w:rsidRDefault="00103601">
            <w:pPr>
              <w:pStyle w:val="Heading3"/>
            </w:pPr>
            <w:r>
              <w:t>ASHRAE Technical FAQ</w:t>
            </w:r>
          </w:p>
        </w:tc>
      </w:tr>
      <w:tr w:rsidR="00103601" w:rsidRPr="004B659F" w14:paraId="3C774D9F" w14:textId="77777777">
        <w:trPr>
          <w:trHeight w:val="8262"/>
          <w:tblCellSpacing w:w="0" w:type="dxa"/>
        </w:trPr>
        <w:tc>
          <w:tcPr>
            <w:tcW w:w="0" w:type="auto"/>
            <w:vAlign w:val="center"/>
          </w:tcPr>
          <w:tbl>
            <w:tblPr>
              <w:tblW w:w="10104" w:type="dxa"/>
              <w:tblCellSpacing w:w="0" w:type="dxa"/>
              <w:tblCellMar>
                <w:top w:w="75" w:type="dxa"/>
                <w:left w:w="75" w:type="dxa"/>
                <w:bottom w:w="75" w:type="dxa"/>
                <w:right w:w="75" w:type="dxa"/>
              </w:tblCellMar>
              <w:tblLook w:val="0000" w:firstRow="0" w:lastRow="0" w:firstColumn="0" w:lastColumn="0" w:noHBand="0" w:noVBand="0"/>
            </w:tblPr>
            <w:tblGrid>
              <w:gridCol w:w="1980"/>
              <w:gridCol w:w="7317"/>
              <w:gridCol w:w="63"/>
              <w:gridCol w:w="744"/>
            </w:tblGrid>
            <w:tr w:rsidR="00103601" w:rsidRPr="004B659F" w14:paraId="7BA734FA" w14:textId="77777777">
              <w:trPr>
                <w:trHeight w:val="102"/>
                <w:tblCellSpacing w:w="0" w:type="dxa"/>
              </w:trPr>
              <w:tc>
                <w:tcPr>
                  <w:tcW w:w="5000" w:type="pct"/>
                  <w:gridSpan w:val="4"/>
                  <w:vAlign w:val="center"/>
                </w:tcPr>
                <w:p w14:paraId="5EEE6BB7" w14:textId="77777777" w:rsidR="00103601" w:rsidRPr="004B659F" w:rsidRDefault="000501AA">
                  <w:r>
                    <w:pict w14:anchorId="6AFF443A">
                      <v:rect id="_x0000_i1025" style="width:0;height:1.5pt" o:hralign="center" o:hrstd="t" o:hr="t" fillcolor="#aca899" stroked="f"/>
                    </w:pict>
                  </w:r>
                </w:p>
              </w:tc>
            </w:tr>
            <w:tr w:rsidR="00103601" w:rsidRPr="004B659F" w14:paraId="217F6074" w14:textId="77777777">
              <w:trPr>
                <w:gridAfter w:val="1"/>
                <w:wAfter w:w="368" w:type="pct"/>
                <w:trHeight w:val="102"/>
                <w:tblCellSpacing w:w="0" w:type="dxa"/>
              </w:trPr>
              <w:tc>
                <w:tcPr>
                  <w:tcW w:w="980" w:type="pct"/>
                  <w:vAlign w:val="center"/>
                </w:tcPr>
                <w:p w14:paraId="58A8516E" w14:textId="77777777" w:rsidR="00103601" w:rsidRPr="004B659F" w:rsidRDefault="00103601">
                  <w:r w:rsidRPr="004B659F">
                    <w:t xml:space="preserve">ID </w:t>
                  </w:r>
                </w:p>
              </w:tc>
              <w:tc>
                <w:tcPr>
                  <w:tcW w:w="3652" w:type="pct"/>
                  <w:gridSpan w:val="2"/>
                  <w:vAlign w:val="center"/>
                </w:tcPr>
                <w:p w14:paraId="4C48D77B" w14:textId="77777777" w:rsidR="00103601" w:rsidRPr="004B659F" w:rsidRDefault="00103601">
                  <w:r w:rsidRPr="004B659F">
                    <w:t>69</w:t>
                  </w:r>
                </w:p>
              </w:tc>
            </w:tr>
            <w:tr w:rsidR="00103601" w:rsidRPr="004B659F" w14:paraId="6506A991" w14:textId="77777777">
              <w:trPr>
                <w:gridAfter w:val="1"/>
                <w:wAfter w:w="368" w:type="pct"/>
                <w:trHeight w:val="102"/>
                <w:tblCellSpacing w:w="0" w:type="dxa"/>
              </w:trPr>
              <w:tc>
                <w:tcPr>
                  <w:tcW w:w="4632" w:type="pct"/>
                  <w:gridSpan w:val="3"/>
                  <w:vAlign w:val="center"/>
                </w:tcPr>
                <w:p w14:paraId="2EA402A8" w14:textId="77777777" w:rsidR="00103601" w:rsidRPr="004B659F" w:rsidRDefault="000501AA">
                  <w:r>
                    <w:pict w14:anchorId="5DE946C6">
                      <v:rect id="_x0000_i1026" style="width:0;height:1.5pt" o:hralign="center" o:hrstd="t" o:hr="t" fillcolor="#aca899" stroked="f"/>
                    </w:pict>
                  </w:r>
                </w:p>
              </w:tc>
            </w:tr>
            <w:tr w:rsidR="00103601" w:rsidRPr="004B659F" w14:paraId="0014C8E6" w14:textId="77777777">
              <w:trPr>
                <w:gridAfter w:val="1"/>
                <w:wAfter w:w="368" w:type="pct"/>
                <w:trHeight w:val="102"/>
                <w:tblCellSpacing w:w="0" w:type="dxa"/>
              </w:trPr>
              <w:tc>
                <w:tcPr>
                  <w:tcW w:w="980" w:type="pct"/>
                  <w:vAlign w:val="center"/>
                </w:tcPr>
                <w:p w14:paraId="4BA404E7" w14:textId="77777777" w:rsidR="00103601" w:rsidRPr="004B659F" w:rsidRDefault="00103601">
                  <w:r w:rsidRPr="004B659F">
                    <w:t xml:space="preserve">Question </w:t>
                  </w:r>
                </w:p>
              </w:tc>
              <w:tc>
                <w:tcPr>
                  <w:tcW w:w="3652" w:type="pct"/>
                  <w:gridSpan w:val="2"/>
                  <w:vAlign w:val="center"/>
                </w:tcPr>
                <w:p w14:paraId="6E5CFAF7" w14:textId="77777777" w:rsidR="00103601" w:rsidRPr="004B659F" w:rsidRDefault="00103601">
                  <w:r w:rsidRPr="004B659F">
                    <w:rPr>
                      <w:color w:val="000000"/>
                    </w:rPr>
                    <w:t>How are laboratory fume hoods certified?</w:t>
                  </w:r>
                </w:p>
              </w:tc>
            </w:tr>
            <w:tr w:rsidR="00103601" w:rsidRPr="004B659F" w14:paraId="1C99DF6D" w14:textId="77777777">
              <w:trPr>
                <w:gridAfter w:val="1"/>
                <w:wAfter w:w="368" w:type="pct"/>
                <w:trHeight w:val="102"/>
                <w:tblCellSpacing w:w="0" w:type="dxa"/>
              </w:trPr>
              <w:tc>
                <w:tcPr>
                  <w:tcW w:w="4632" w:type="pct"/>
                  <w:gridSpan w:val="3"/>
                  <w:vAlign w:val="center"/>
                </w:tcPr>
                <w:p w14:paraId="386BDA13" w14:textId="77777777" w:rsidR="00103601" w:rsidRPr="004B659F" w:rsidRDefault="000501AA">
                  <w:r>
                    <w:pict w14:anchorId="594D14BC">
                      <v:rect id="_x0000_i1027" style="width:0;height:1.5pt" o:hralign="center" o:hrstd="t" o:hr="t" fillcolor="#aca899" stroked="f"/>
                    </w:pict>
                  </w:r>
                </w:p>
              </w:tc>
            </w:tr>
            <w:tr w:rsidR="00103601" w:rsidRPr="004B659F" w14:paraId="34F0CFB4" w14:textId="77777777">
              <w:trPr>
                <w:gridAfter w:val="1"/>
                <w:wAfter w:w="368" w:type="pct"/>
                <w:trHeight w:val="102"/>
                <w:tblCellSpacing w:w="0" w:type="dxa"/>
              </w:trPr>
              <w:tc>
                <w:tcPr>
                  <w:tcW w:w="980" w:type="pct"/>
                  <w:vAlign w:val="center"/>
                </w:tcPr>
                <w:p w14:paraId="561D1583" w14:textId="77777777" w:rsidR="00103601" w:rsidRPr="00D03194" w:rsidRDefault="00103601">
                  <w:r w:rsidRPr="00D03194">
                    <w:br/>
                    <w:t xml:space="preserve">Answer </w:t>
                  </w:r>
                </w:p>
              </w:tc>
              <w:tc>
                <w:tcPr>
                  <w:tcW w:w="3652" w:type="pct"/>
                  <w:gridSpan w:val="2"/>
                  <w:vAlign w:val="center"/>
                </w:tcPr>
                <w:p w14:paraId="34CF3648" w14:textId="77777777" w:rsidR="00A123C8" w:rsidRPr="00D03194" w:rsidRDefault="00103601" w:rsidP="00A123C8">
                  <w:pPr>
                    <w:pStyle w:val="Default"/>
                    <w:rPr>
                      <w:rFonts w:ascii="Century Gothic" w:hAnsi="Century Gothic" w:cs="Arial"/>
                    </w:rPr>
                  </w:pPr>
                  <w:r w:rsidRPr="00D03194">
                    <w:t>ASHRAE does not certify or test products</w:t>
                  </w:r>
                  <w:r w:rsidR="00A123C8" w:rsidRPr="00D03194">
                    <w:t>;</w:t>
                  </w:r>
                  <w:r w:rsidRPr="00D03194">
                    <w:t xml:space="preserve"> however, </w:t>
                  </w:r>
                  <w:r w:rsidR="00A123C8" w:rsidRPr="00D03194">
                    <w:t xml:space="preserve">ASHRAE does write and publish </w:t>
                  </w:r>
                  <w:r w:rsidRPr="00D03194">
                    <w:t>a standard test procedure for testing the performance of fume hoods</w:t>
                  </w:r>
                  <w:r w:rsidR="00A123C8" w:rsidRPr="00D03194">
                    <w:t xml:space="preserve"> - </w:t>
                  </w:r>
                  <w:hyperlink r:id="rId4" w:history="1">
                    <w:r w:rsidR="00074CEA" w:rsidRPr="00D03194">
                      <w:rPr>
                        <w:rStyle w:val="Hyperlink"/>
                      </w:rPr>
                      <w:t>ASHRAE Standard 110-</w:t>
                    </w:r>
                    <w:r w:rsidR="009769D6">
                      <w:rPr>
                        <w:rStyle w:val="Hyperlink"/>
                      </w:rPr>
                      <w:t>2016</w:t>
                    </w:r>
                  </w:hyperlink>
                  <w:r w:rsidR="00A123C8" w:rsidRPr="00D03194">
                    <w:t>, “</w:t>
                  </w:r>
                  <w:r w:rsidRPr="00D03194">
                    <w:t>Method of Testing Performance of Laboratory Fume Hoods."</w:t>
                  </w:r>
                  <w:r w:rsidRPr="00D03194">
                    <w:br/>
                  </w:r>
                  <w:r w:rsidRPr="00D03194">
                    <w:br/>
                  </w:r>
                  <w:r w:rsidR="00A123C8" w:rsidRPr="00D03194">
                    <w:rPr>
                      <w:color w:val="333333"/>
                    </w:rPr>
                    <w:t>Typically the owner establishes a program to inspect and certify their laboratory fume hoods. The certification program may be based on OSHA regulations (</w:t>
                  </w:r>
                  <w:hyperlink r:id="rId5" w:history="1">
                    <w:r w:rsidR="00A123C8" w:rsidRPr="00D03194">
                      <w:rPr>
                        <w:rStyle w:val="Hyperlink"/>
                      </w:rPr>
                      <w:t>Standard 29 CFR 1910.1450</w:t>
                    </w:r>
                  </w:hyperlink>
                  <w:r w:rsidR="00A123C8" w:rsidRPr="00D03194">
                    <w:rPr>
                      <w:color w:val="333333"/>
                    </w:rPr>
                    <w:t>) and the AIHA Laboratory Ventilation (</w:t>
                  </w:r>
                  <w:hyperlink r:id="rId6" w:history="1">
                    <w:r w:rsidR="00A123C8" w:rsidRPr="00D03194">
                      <w:rPr>
                        <w:rStyle w:val="Hyperlink"/>
                      </w:rPr>
                      <w:t>ANSI/AIHA Standard Z9.5</w:t>
                    </w:r>
                  </w:hyperlink>
                  <w:r w:rsidR="00A123C8" w:rsidRPr="00D03194">
                    <w:rPr>
                      <w:color w:val="333333"/>
                    </w:rPr>
                    <w:t xml:space="preserve">). Such a program may include the allowable average and maximum exposure levels, allowable fume hood face velocities, and required speed of response for variable volume operations. The owner should also determine the agency responsible for conducting the testing; this may be an in-house department or an outside agency. Since these hoods are the primary control method used to prevent worker exposure in the laboratory, it is important that all hoods are certified to ensure that each hood is performing properly. </w:t>
                  </w:r>
                </w:p>
                <w:p w14:paraId="0C622D05" w14:textId="77777777" w:rsidR="00A123C8" w:rsidRPr="00D03194" w:rsidRDefault="00A123C8" w:rsidP="00A123C8">
                  <w:pPr>
                    <w:rPr>
                      <w:color w:val="000000"/>
                    </w:rPr>
                  </w:pPr>
                </w:p>
                <w:p w14:paraId="2D65C985" w14:textId="77777777" w:rsidR="00103601" w:rsidRPr="00D03194" w:rsidRDefault="00103601" w:rsidP="00A123C8">
                  <w:r w:rsidRPr="00D03194">
                    <w:rPr>
                      <w:color w:val="000000"/>
                    </w:rPr>
                    <w:t xml:space="preserve">The standard may be purchased and/or downloaded on-line at our website, </w:t>
                  </w:r>
                  <w:hyperlink r:id="rId7" w:history="1">
                    <w:r w:rsidR="00941352" w:rsidRPr="00D03194">
                      <w:rPr>
                        <w:rStyle w:val="Hyperlink"/>
                      </w:rPr>
                      <w:t>www.ashrae.org</w:t>
                    </w:r>
                  </w:hyperlink>
                  <w:r w:rsidR="00941352" w:rsidRPr="00D03194">
                    <w:rPr>
                      <w:color w:val="000000"/>
                    </w:rPr>
                    <w:t xml:space="preserve"> </w:t>
                  </w:r>
                  <w:r w:rsidRPr="00D03194">
                    <w:rPr>
                      <w:color w:val="000000"/>
                    </w:rPr>
                    <w:t>or by calling 1-800-527-4723 in the USA and Canada or 1-404-636-8400 worldwide.</w:t>
                  </w:r>
                </w:p>
              </w:tc>
            </w:tr>
            <w:tr w:rsidR="00103601" w:rsidRPr="004B659F" w14:paraId="2C8E3990" w14:textId="77777777">
              <w:trPr>
                <w:gridAfter w:val="1"/>
                <w:wAfter w:w="368" w:type="pct"/>
                <w:trHeight w:val="212"/>
                <w:tblCellSpacing w:w="0" w:type="dxa"/>
              </w:trPr>
              <w:tc>
                <w:tcPr>
                  <w:tcW w:w="4632" w:type="pct"/>
                  <w:gridSpan w:val="3"/>
                  <w:vAlign w:val="center"/>
                </w:tcPr>
                <w:p w14:paraId="155D04CF" w14:textId="77777777" w:rsidR="00103601" w:rsidRPr="00D03194" w:rsidRDefault="000501AA">
                  <w:r>
                    <w:pict w14:anchorId="7D216555">
                      <v:rect id="_x0000_i1028" style="width:0;height:1.5pt" o:hralign="center" o:hrstd="t" o:hr="t" fillcolor="#aca899" stroked="f"/>
                    </w:pict>
                  </w:r>
                </w:p>
              </w:tc>
            </w:tr>
            <w:tr w:rsidR="00103601" w:rsidRPr="004B659F" w14:paraId="6DB825DA" w14:textId="77777777">
              <w:trPr>
                <w:gridAfter w:val="1"/>
                <w:wAfter w:w="368" w:type="pct"/>
                <w:trHeight w:val="396"/>
                <w:tblCellSpacing w:w="0" w:type="dxa"/>
              </w:trPr>
              <w:tc>
                <w:tcPr>
                  <w:tcW w:w="980" w:type="pct"/>
                  <w:vAlign w:val="center"/>
                </w:tcPr>
                <w:p w14:paraId="67432446" w14:textId="77777777" w:rsidR="00103601" w:rsidRPr="00D03194" w:rsidRDefault="00103601">
                  <w:r w:rsidRPr="00D03194">
                    <w:t xml:space="preserve">ASHRAE Pubs </w:t>
                  </w:r>
                </w:p>
              </w:tc>
              <w:tc>
                <w:tcPr>
                  <w:tcW w:w="3652" w:type="pct"/>
                  <w:gridSpan w:val="2"/>
                  <w:vAlign w:val="center"/>
                </w:tcPr>
                <w:p w14:paraId="15D37EE7" w14:textId="3581FA4E" w:rsidR="00103601" w:rsidRPr="00D03194" w:rsidRDefault="000501AA" w:rsidP="009769D6">
                  <w:hyperlink r:id="rId8" w:history="1">
                    <w:r w:rsidR="00F715F8">
                      <w:rPr>
                        <w:rStyle w:val="Hyperlink"/>
                      </w:rPr>
                      <w:t>20</w:t>
                    </w:r>
                    <w:r>
                      <w:rPr>
                        <w:rStyle w:val="Hyperlink"/>
                      </w:rPr>
                      <w:t>23</w:t>
                    </w:r>
                    <w:r w:rsidR="00F715F8">
                      <w:rPr>
                        <w:rStyle w:val="Hyperlink"/>
                      </w:rPr>
                      <w:t xml:space="preserve"> ASHRAE Handbook - HVAC Applications</w:t>
                    </w:r>
                  </w:hyperlink>
                  <w:r w:rsidR="00F715F8">
                    <w:t xml:space="preserve">, </w:t>
                  </w:r>
                  <w:r w:rsidR="00103601" w:rsidRPr="00D03194">
                    <w:rPr>
                      <w:color w:val="000000"/>
                    </w:rPr>
                    <w:t xml:space="preserve">Chapter </w:t>
                  </w:r>
                  <w:hyperlink r:id="rId9" w:history="1">
                    <w:r w:rsidR="00BD37CD" w:rsidRPr="00D03194">
                      <w:rPr>
                        <w:rStyle w:val="Hyperlink"/>
                      </w:rPr>
                      <w:t>A</w:t>
                    </w:r>
                    <w:r>
                      <w:rPr>
                        <w:rStyle w:val="Hyperlink"/>
                      </w:rPr>
                      <w:t>17</w:t>
                    </w:r>
                  </w:hyperlink>
                  <w:r w:rsidR="00103601" w:rsidRPr="00D03194">
                    <w:rPr>
                      <w:color w:val="000000"/>
                    </w:rPr>
                    <w:br/>
                  </w:r>
                  <w:r w:rsidR="00103601" w:rsidRPr="00D03194">
                    <w:rPr>
                      <w:color w:val="000000"/>
                    </w:rPr>
                    <w:br/>
                  </w:r>
                  <w:hyperlink r:id="rId10" w:history="1">
                    <w:r w:rsidR="00074CEA" w:rsidRPr="00D03194">
                      <w:rPr>
                        <w:rStyle w:val="Hyperlink"/>
                      </w:rPr>
                      <w:t>ASHRAE Standard 110-</w:t>
                    </w:r>
                    <w:r w:rsidR="009769D6">
                      <w:rPr>
                        <w:rStyle w:val="Hyperlink"/>
                      </w:rPr>
                      <w:t>2016</w:t>
                    </w:r>
                  </w:hyperlink>
                </w:p>
              </w:tc>
            </w:tr>
            <w:tr w:rsidR="00103601" w:rsidRPr="004B659F" w14:paraId="75155125" w14:textId="77777777">
              <w:trPr>
                <w:gridAfter w:val="1"/>
                <w:wAfter w:w="368" w:type="pct"/>
                <w:trHeight w:val="198"/>
                <w:tblCellSpacing w:w="0" w:type="dxa"/>
              </w:trPr>
              <w:tc>
                <w:tcPr>
                  <w:tcW w:w="4632" w:type="pct"/>
                  <w:gridSpan w:val="3"/>
                  <w:vAlign w:val="center"/>
                </w:tcPr>
                <w:p w14:paraId="4C911667" w14:textId="77777777" w:rsidR="00103601" w:rsidRPr="00D03194" w:rsidRDefault="000501AA">
                  <w:r>
                    <w:pict w14:anchorId="05396372">
                      <v:rect id="_x0000_i1029" style="width:0;height:1.5pt" o:hralign="center" o:hrstd="t" o:hr="t" fillcolor="#aca899" stroked="f"/>
                    </w:pict>
                  </w:r>
                </w:p>
              </w:tc>
            </w:tr>
            <w:tr w:rsidR="00103601" w:rsidRPr="004B659F" w14:paraId="46084A65" w14:textId="77777777">
              <w:trPr>
                <w:gridAfter w:val="1"/>
                <w:wAfter w:w="368" w:type="pct"/>
                <w:trHeight w:val="396"/>
                <w:tblCellSpacing w:w="0" w:type="dxa"/>
              </w:trPr>
              <w:tc>
                <w:tcPr>
                  <w:tcW w:w="980" w:type="pct"/>
                  <w:vAlign w:val="center"/>
                </w:tcPr>
                <w:p w14:paraId="4DD6EF94" w14:textId="77777777" w:rsidR="00103601" w:rsidRPr="00D03194" w:rsidRDefault="00103601">
                  <w:r w:rsidRPr="00D03194">
                    <w:t xml:space="preserve">Topic References </w:t>
                  </w:r>
                </w:p>
              </w:tc>
              <w:tc>
                <w:tcPr>
                  <w:tcW w:w="3652" w:type="pct"/>
                  <w:gridSpan w:val="2"/>
                  <w:vAlign w:val="center"/>
                </w:tcPr>
                <w:p w14:paraId="49B1D369" w14:textId="77777777" w:rsidR="00103601" w:rsidRPr="00D03194" w:rsidRDefault="00103601">
                  <w:r w:rsidRPr="00D03194">
                    <w:rPr>
                      <w:color w:val="000000"/>
                    </w:rPr>
                    <w:t>Fume Hoods, Certification</w:t>
                  </w:r>
                </w:p>
              </w:tc>
            </w:tr>
            <w:tr w:rsidR="00103601" w:rsidRPr="004B659F" w14:paraId="6E928529" w14:textId="77777777">
              <w:trPr>
                <w:trHeight w:val="198"/>
                <w:tblCellSpacing w:w="0" w:type="dxa"/>
              </w:trPr>
              <w:tc>
                <w:tcPr>
                  <w:tcW w:w="5000" w:type="pct"/>
                  <w:gridSpan w:val="4"/>
                  <w:vAlign w:val="center"/>
                </w:tcPr>
                <w:p w14:paraId="471AEA12" w14:textId="77777777" w:rsidR="00103601" w:rsidRPr="00D03194" w:rsidRDefault="000501AA">
                  <w:r>
                    <w:pict w14:anchorId="05A8BFBE">
                      <v:rect id="_x0000_i1030" style="width:0;height:1.5pt" o:hralign="center" o:hrstd="t" o:hr="t" fillcolor="#aca899" stroked="f"/>
                    </w:pict>
                  </w:r>
                </w:p>
              </w:tc>
            </w:tr>
            <w:tr w:rsidR="00103601" w:rsidRPr="00D03194" w14:paraId="6469688F" w14:textId="77777777">
              <w:trPr>
                <w:gridAfter w:val="2"/>
                <w:wAfter w:w="399" w:type="pct"/>
                <w:trHeight w:val="2121"/>
                <w:tblCellSpacing w:w="0" w:type="dxa"/>
              </w:trPr>
              <w:tc>
                <w:tcPr>
                  <w:tcW w:w="4601" w:type="pct"/>
                  <w:gridSpan w:val="2"/>
                  <w:vAlign w:val="center"/>
                </w:tcPr>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00"/>
                    <w:gridCol w:w="2520"/>
                  </w:tblGrid>
                  <w:tr w:rsidR="00103601" w:rsidRPr="00D03194" w14:paraId="30E2828B" w14:textId="77777777" w:rsidTr="00C40410">
                    <w:trPr>
                      <w:trHeight w:val="316"/>
                      <w:jc w:val="center"/>
                    </w:trPr>
                    <w:tc>
                      <w:tcPr>
                        <w:tcW w:w="460" w:type="dxa"/>
                      </w:tcPr>
                      <w:p w14:paraId="060B60D2" w14:textId="77777777" w:rsidR="00103601" w:rsidRPr="00D03194" w:rsidRDefault="00103601"/>
                    </w:tc>
                    <w:tc>
                      <w:tcPr>
                        <w:tcW w:w="3600" w:type="dxa"/>
                      </w:tcPr>
                      <w:p w14:paraId="7D8E138E" w14:textId="77777777" w:rsidR="00103601" w:rsidRPr="00D03194" w:rsidRDefault="00103601">
                        <w:r w:rsidRPr="00D03194">
                          <w:t>Cognizant ASHRAE Committees</w:t>
                        </w:r>
                      </w:p>
                    </w:tc>
                    <w:tc>
                      <w:tcPr>
                        <w:tcW w:w="2520" w:type="dxa"/>
                      </w:tcPr>
                      <w:p w14:paraId="4E91226D" w14:textId="77777777" w:rsidR="00103601" w:rsidRPr="00D03194" w:rsidRDefault="00103601">
                        <w:r w:rsidRPr="00D03194">
                          <w:t>Refer to Organization</w:t>
                        </w:r>
                      </w:p>
                    </w:tc>
                  </w:tr>
                  <w:tr w:rsidR="00103601" w:rsidRPr="00D03194" w14:paraId="32C80D0F" w14:textId="77777777" w:rsidTr="00C40410">
                    <w:trPr>
                      <w:trHeight w:val="293"/>
                      <w:jc w:val="center"/>
                    </w:trPr>
                    <w:tc>
                      <w:tcPr>
                        <w:tcW w:w="460" w:type="dxa"/>
                      </w:tcPr>
                      <w:p w14:paraId="7CB6EB41" w14:textId="77777777" w:rsidR="00103601" w:rsidRPr="00D03194" w:rsidRDefault="00103601">
                        <w:r w:rsidRPr="00D03194">
                          <w:t>1</w:t>
                        </w:r>
                      </w:p>
                    </w:tc>
                    <w:tc>
                      <w:tcPr>
                        <w:tcW w:w="3600" w:type="dxa"/>
                      </w:tcPr>
                      <w:p w14:paraId="106C17E0" w14:textId="77777777" w:rsidR="00103601" w:rsidRPr="00D03194" w:rsidRDefault="000501AA">
                        <w:hyperlink r:id="rId11" w:history="1">
                          <w:r w:rsidR="00103601" w:rsidRPr="00D03194">
                            <w:rPr>
                              <w:rStyle w:val="Hyperlink"/>
                            </w:rPr>
                            <w:t>TC 9.10</w:t>
                          </w:r>
                        </w:hyperlink>
                      </w:p>
                    </w:tc>
                    <w:tc>
                      <w:tcPr>
                        <w:tcW w:w="2520" w:type="dxa"/>
                      </w:tcPr>
                      <w:p w14:paraId="1DDC9836" w14:textId="77777777" w:rsidR="00103601" w:rsidRPr="00D03194" w:rsidRDefault="000501AA">
                        <w:hyperlink r:id="rId12" w:history="1">
                          <w:r w:rsidR="00074CEA" w:rsidRPr="00D03194">
                            <w:rPr>
                              <w:rStyle w:val="Hyperlink"/>
                            </w:rPr>
                            <w:t>SEFA</w:t>
                          </w:r>
                        </w:hyperlink>
                      </w:p>
                    </w:tc>
                  </w:tr>
                  <w:tr w:rsidR="00103601" w:rsidRPr="00D03194" w14:paraId="2F6D6172" w14:textId="77777777" w:rsidTr="00C40410">
                    <w:trPr>
                      <w:trHeight w:val="293"/>
                      <w:jc w:val="center"/>
                    </w:trPr>
                    <w:tc>
                      <w:tcPr>
                        <w:tcW w:w="460" w:type="dxa"/>
                      </w:tcPr>
                      <w:p w14:paraId="3FA9D031" w14:textId="77777777" w:rsidR="00103601" w:rsidRPr="00D03194" w:rsidRDefault="00103601">
                        <w:r w:rsidRPr="00D03194">
                          <w:t>2</w:t>
                        </w:r>
                      </w:p>
                    </w:tc>
                    <w:tc>
                      <w:tcPr>
                        <w:tcW w:w="3600" w:type="dxa"/>
                      </w:tcPr>
                      <w:p w14:paraId="70A4B62C" w14:textId="77777777" w:rsidR="00103601" w:rsidRPr="00D03194" w:rsidRDefault="00103601"/>
                    </w:tc>
                    <w:tc>
                      <w:tcPr>
                        <w:tcW w:w="2520" w:type="dxa"/>
                      </w:tcPr>
                      <w:p w14:paraId="79EDB609" w14:textId="77777777" w:rsidR="00103601" w:rsidRPr="00D03194" w:rsidRDefault="000501AA">
                        <w:hyperlink r:id="rId13" w:history="1">
                          <w:r w:rsidR="00A123C8" w:rsidRPr="00D03194">
                            <w:rPr>
                              <w:rStyle w:val="Hyperlink"/>
                            </w:rPr>
                            <w:t>OSHA</w:t>
                          </w:r>
                        </w:hyperlink>
                      </w:p>
                    </w:tc>
                  </w:tr>
                  <w:tr w:rsidR="00103601" w:rsidRPr="00D03194" w14:paraId="4DF98133" w14:textId="77777777" w:rsidTr="00C40410">
                    <w:trPr>
                      <w:trHeight w:val="293"/>
                      <w:jc w:val="center"/>
                    </w:trPr>
                    <w:tc>
                      <w:tcPr>
                        <w:tcW w:w="460" w:type="dxa"/>
                      </w:tcPr>
                      <w:p w14:paraId="124014BB" w14:textId="77777777" w:rsidR="00103601" w:rsidRPr="00D03194" w:rsidRDefault="00103601">
                        <w:r w:rsidRPr="00D03194">
                          <w:t>3</w:t>
                        </w:r>
                      </w:p>
                    </w:tc>
                    <w:tc>
                      <w:tcPr>
                        <w:tcW w:w="3600" w:type="dxa"/>
                      </w:tcPr>
                      <w:p w14:paraId="3F67F3E5" w14:textId="77777777" w:rsidR="00103601" w:rsidRPr="00D03194" w:rsidRDefault="00103601"/>
                    </w:tc>
                    <w:tc>
                      <w:tcPr>
                        <w:tcW w:w="2520" w:type="dxa"/>
                      </w:tcPr>
                      <w:p w14:paraId="1204673E" w14:textId="77777777" w:rsidR="00103601" w:rsidRPr="00D03194" w:rsidRDefault="000501AA">
                        <w:hyperlink r:id="rId14" w:history="1">
                          <w:r w:rsidR="00A123C8" w:rsidRPr="00D03194">
                            <w:rPr>
                              <w:rStyle w:val="Hyperlink"/>
                            </w:rPr>
                            <w:t>AIHA</w:t>
                          </w:r>
                        </w:hyperlink>
                      </w:p>
                    </w:tc>
                  </w:tr>
                  <w:tr w:rsidR="00103601" w:rsidRPr="00D03194" w14:paraId="1F21C3E3" w14:textId="77777777" w:rsidTr="00C40410">
                    <w:trPr>
                      <w:trHeight w:val="316"/>
                      <w:jc w:val="center"/>
                    </w:trPr>
                    <w:tc>
                      <w:tcPr>
                        <w:tcW w:w="460" w:type="dxa"/>
                      </w:tcPr>
                      <w:p w14:paraId="77DE6CE6" w14:textId="77777777" w:rsidR="00103601" w:rsidRPr="00D03194" w:rsidRDefault="00103601">
                        <w:r w:rsidRPr="00D03194">
                          <w:t>4</w:t>
                        </w:r>
                      </w:p>
                    </w:tc>
                    <w:tc>
                      <w:tcPr>
                        <w:tcW w:w="3600" w:type="dxa"/>
                      </w:tcPr>
                      <w:p w14:paraId="2B04988F" w14:textId="77777777" w:rsidR="00103601" w:rsidRPr="00D03194" w:rsidRDefault="00103601"/>
                    </w:tc>
                    <w:tc>
                      <w:tcPr>
                        <w:tcW w:w="2520" w:type="dxa"/>
                      </w:tcPr>
                      <w:p w14:paraId="6A5D7A17" w14:textId="77777777" w:rsidR="00103601" w:rsidRPr="00D03194" w:rsidRDefault="00103601"/>
                    </w:tc>
                  </w:tr>
                  <w:tr w:rsidR="00103601" w:rsidRPr="00D03194" w14:paraId="26B3BE20" w14:textId="77777777" w:rsidTr="00C40410">
                    <w:trPr>
                      <w:trHeight w:val="316"/>
                      <w:jc w:val="center"/>
                    </w:trPr>
                    <w:tc>
                      <w:tcPr>
                        <w:tcW w:w="460" w:type="dxa"/>
                      </w:tcPr>
                      <w:p w14:paraId="6D6494C8" w14:textId="77777777" w:rsidR="00103601" w:rsidRPr="00D03194" w:rsidRDefault="00103601">
                        <w:r w:rsidRPr="00D03194">
                          <w:t>5</w:t>
                        </w:r>
                      </w:p>
                    </w:tc>
                    <w:tc>
                      <w:tcPr>
                        <w:tcW w:w="3600" w:type="dxa"/>
                      </w:tcPr>
                      <w:p w14:paraId="46ACBB23" w14:textId="77777777" w:rsidR="00103601" w:rsidRPr="00D03194" w:rsidRDefault="00103601"/>
                    </w:tc>
                    <w:tc>
                      <w:tcPr>
                        <w:tcW w:w="2520" w:type="dxa"/>
                      </w:tcPr>
                      <w:p w14:paraId="6B93F891" w14:textId="77777777" w:rsidR="00103601" w:rsidRPr="00D03194" w:rsidRDefault="00103601"/>
                    </w:tc>
                  </w:tr>
                </w:tbl>
                <w:p w14:paraId="58919762" w14:textId="77777777" w:rsidR="00103601" w:rsidRPr="00D03194" w:rsidRDefault="00103601"/>
              </w:tc>
            </w:tr>
            <w:tr w:rsidR="00103601" w:rsidRPr="004B659F" w14:paraId="522B9695" w14:textId="77777777">
              <w:trPr>
                <w:trHeight w:val="212"/>
                <w:tblCellSpacing w:w="0" w:type="dxa"/>
              </w:trPr>
              <w:tc>
                <w:tcPr>
                  <w:tcW w:w="5000" w:type="pct"/>
                  <w:gridSpan w:val="4"/>
                  <w:vAlign w:val="center"/>
                </w:tcPr>
                <w:p w14:paraId="3ADD2D9C" w14:textId="77777777" w:rsidR="00103601" w:rsidRPr="004B659F" w:rsidRDefault="00103601"/>
              </w:tc>
            </w:tr>
          </w:tbl>
          <w:p w14:paraId="6D3CB4F5" w14:textId="77777777" w:rsidR="00103601" w:rsidRPr="004B659F" w:rsidRDefault="00103601"/>
        </w:tc>
        <w:tc>
          <w:tcPr>
            <w:tcW w:w="0" w:type="auto"/>
            <w:vAlign w:val="center"/>
          </w:tcPr>
          <w:p w14:paraId="4CF70B3F" w14:textId="77777777" w:rsidR="00103601" w:rsidRPr="004B659F" w:rsidRDefault="00103601"/>
        </w:tc>
      </w:tr>
    </w:tbl>
    <w:p w14:paraId="47E9AF84" w14:textId="77777777" w:rsidR="00103601" w:rsidRPr="004B659F" w:rsidRDefault="00103601"/>
    <w:sectPr w:rsidR="00103601" w:rsidRPr="004B659F" w:rsidSect="00236EF8">
      <w:pgSz w:w="12240" w:h="15840"/>
      <w:pgMar w:top="54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64E8"/>
    <w:rsid w:val="000142F9"/>
    <w:rsid w:val="00026B8D"/>
    <w:rsid w:val="000405EC"/>
    <w:rsid w:val="00043D6E"/>
    <w:rsid w:val="000501AA"/>
    <w:rsid w:val="0005555B"/>
    <w:rsid w:val="000730C2"/>
    <w:rsid w:val="00074CEA"/>
    <w:rsid w:val="000A4C5E"/>
    <w:rsid w:val="000B1E64"/>
    <w:rsid w:val="000C075F"/>
    <w:rsid w:val="000C17CC"/>
    <w:rsid w:val="000C3D1F"/>
    <w:rsid w:val="000C7C12"/>
    <w:rsid w:val="000D56BF"/>
    <w:rsid w:val="000D61FB"/>
    <w:rsid w:val="000E41B2"/>
    <w:rsid w:val="000E46C8"/>
    <w:rsid w:val="000E4A46"/>
    <w:rsid w:val="00103601"/>
    <w:rsid w:val="00105431"/>
    <w:rsid w:val="00111AD9"/>
    <w:rsid w:val="00133B32"/>
    <w:rsid w:val="00136D1C"/>
    <w:rsid w:val="001538C4"/>
    <w:rsid w:val="00167169"/>
    <w:rsid w:val="00176F30"/>
    <w:rsid w:val="00177D55"/>
    <w:rsid w:val="001935DF"/>
    <w:rsid w:val="00196F06"/>
    <w:rsid w:val="0019749A"/>
    <w:rsid w:val="001B7130"/>
    <w:rsid w:val="001F0C26"/>
    <w:rsid w:val="002051F5"/>
    <w:rsid w:val="0020535B"/>
    <w:rsid w:val="002173A6"/>
    <w:rsid w:val="00236EF8"/>
    <w:rsid w:val="00244A8B"/>
    <w:rsid w:val="00252728"/>
    <w:rsid w:val="00257E60"/>
    <w:rsid w:val="00271495"/>
    <w:rsid w:val="0027767A"/>
    <w:rsid w:val="002779BB"/>
    <w:rsid w:val="00281782"/>
    <w:rsid w:val="002825E3"/>
    <w:rsid w:val="002B0D3F"/>
    <w:rsid w:val="002B6692"/>
    <w:rsid w:val="002C6A17"/>
    <w:rsid w:val="002E45EC"/>
    <w:rsid w:val="002F4E1B"/>
    <w:rsid w:val="002F6C9C"/>
    <w:rsid w:val="003117BC"/>
    <w:rsid w:val="003121B2"/>
    <w:rsid w:val="003478DA"/>
    <w:rsid w:val="00354FC9"/>
    <w:rsid w:val="00356BED"/>
    <w:rsid w:val="00357E79"/>
    <w:rsid w:val="003857A7"/>
    <w:rsid w:val="003A0081"/>
    <w:rsid w:val="003A1FF8"/>
    <w:rsid w:val="003A2FCC"/>
    <w:rsid w:val="003A7837"/>
    <w:rsid w:val="003B7412"/>
    <w:rsid w:val="003C4E8B"/>
    <w:rsid w:val="003D2759"/>
    <w:rsid w:val="003D4ED5"/>
    <w:rsid w:val="0040222F"/>
    <w:rsid w:val="00413730"/>
    <w:rsid w:val="004138CF"/>
    <w:rsid w:val="004265F2"/>
    <w:rsid w:val="004275F8"/>
    <w:rsid w:val="00437DC1"/>
    <w:rsid w:val="004424C2"/>
    <w:rsid w:val="00442B1A"/>
    <w:rsid w:val="004466ED"/>
    <w:rsid w:val="0044728F"/>
    <w:rsid w:val="004543E1"/>
    <w:rsid w:val="00454431"/>
    <w:rsid w:val="00460FE3"/>
    <w:rsid w:val="004816F2"/>
    <w:rsid w:val="004A37B0"/>
    <w:rsid w:val="004A4C42"/>
    <w:rsid w:val="004F534E"/>
    <w:rsid w:val="00526CA2"/>
    <w:rsid w:val="005373C0"/>
    <w:rsid w:val="0054046A"/>
    <w:rsid w:val="00554020"/>
    <w:rsid w:val="00555DE5"/>
    <w:rsid w:val="005614FF"/>
    <w:rsid w:val="00571372"/>
    <w:rsid w:val="00573B26"/>
    <w:rsid w:val="005750B3"/>
    <w:rsid w:val="00575DE3"/>
    <w:rsid w:val="005823A8"/>
    <w:rsid w:val="005C2DAE"/>
    <w:rsid w:val="005C3B4D"/>
    <w:rsid w:val="005D5A07"/>
    <w:rsid w:val="005E4570"/>
    <w:rsid w:val="005E7370"/>
    <w:rsid w:val="005F09FF"/>
    <w:rsid w:val="005F5381"/>
    <w:rsid w:val="005F6297"/>
    <w:rsid w:val="00634806"/>
    <w:rsid w:val="00650ACA"/>
    <w:rsid w:val="00690A01"/>
    <w:rsid w:val="006A394D"/>
    <w:rsid w:val="006B4FBD"/>
    <w:rsid w:val="006B6767"/>
    <w:rsid w:val="006C4140"/>
    <w:rsid w:val="006E623D"/>
    <w:rsid w:val="006F2C88"/>
    <w:rsid w:val="006F48B2"/>
    <w:rsid w:val="007017C3"/>
    <w:rsid w:val="00706381"/>
    <w:rsid w:val="00714365"/>
    <w:rsid w:val="00724256"/>
    <w:rsid w:val="0073616E"/>
    <w:rsid w:val="007467D8"/>
    <w:rsid w:val="00757A1E"/>
    <w:rsid w:val="007630B1"/>
    <w:rsid w:val="007646A7"/>
    <w:rsid w:val="007712CD"/>
    <w:rsid w:val="007776A6"/>
    <w:rsid w:val="0078711F"/>
    <w:rsid w:val="007B0644"/>
    <w:rsid w:val="007B13FA"/>
    <w:rsid w:val="007B4575"/>
    <w:rsid w:val="007D4461"/>
    <w:rsid w:val="007D767C"/>
    <w:rsid w:val="00805C24"/>
    <w:rsid w:val="00813A3D"/>
    <w:rsid w:val="00830AF5"/>
    <w:rsid w:val="008462B8"/>
    <w:rsid w:val="00850063"/>
    <w:rsid w:val="0087000C"/>
    <w:rsid w:val="008701B3"/>
    <w:rsid w:val="00881807"/>
    <w:rsid w:val="008A1C67"/>
    <w:rsid w:val="008A5008"/>
    <w:rsid w:val="008A784F"/>
    <w:rsid w:val="008B3AE9"/>
    <w:rsid w:val="008C0BEF"/>
    <w:rsid w:val="008C5134"/>
    <w:rsid w:val="008D2B09"/>
    <w:rsid w:val="008D5447"/>
    <w:rsid w:val="008E7528"/>
    <w:rsid w:val="00905825"/>
    <w:rsid w:val="00906C7A"/>
    <w:rsid w:val="00921125"/>
    <w:rsid w:val="00931EEA"/>
    <w:rsid w:val="00941352"/>
    <w:rsid w:val="00946D49"/>
    <w:rsid w:val="009515BA"/>
    <w:rsid w:val="00954341"/>
    <w:rsid w:val="00961F04"/>
    <w:rsid w:val="009769D6"/>
    <w:rsid w:val="00980872"/>
    <w:rsid w:val="00983093"/>
    <w:rsid w:val="00990BDF"/>
    <w:rsid w:val="009A0BC4"/>
    <w:rsid w:val="009B6C9C"/>
    <w:rsid w:val="009C1218"/>
    <w:rsid w:val="009D09C4"/>
    <w:rsid w:val="009F0A2B"/>
    <w:rsid w:val="00A0432D"/>
    <w:rsid w:val="00A07B27"/>
    <w:rsid w:val="00A123C8"/>
    <w:rsid w:val="00A35BBF"/>
    <w:rsid w:val="00A41EB6"/>
    <w:rsid w:val="00A428DA"/>
    <w:rsid w:val="00A42B5B"/>
    <w:rsid w:val="00A4684A"/>
    <w:rsid w:val="00A479A0"/>
    <w:rsid w:val="00A731E6"/>
    <w:rsid w:val="00AF77C5"/>
    <w:rsid w:val="00B02942"/>
    <w:rsid w:val="00B03616"/>
    <w:rsid w:val="00B0665D"/>
    <w:rsid w:val="00B23A11"/>
    <w:rsid w:val="00B439CB"/>
    <w:rsid w:val="00B46DED"/>
    <w:rsid w:val="00B518D4"/>
    <w:rsid w:val="00B51FB5"/>
    <w:rsid w:val="00B662F7"/>
    <w:rsid w:val="00B76549"/>
    <w:rsid w:val="00B901B4"/>
    <w:rsid w:val="00BA430A"/>
    <w:rsid w:val="00BA6202"/>
    <w:rsid w:val="00BB7846"/>
    <w:rsid w:val="00BC784B"/>
    <w:rsid w:val="00BD3079"/>
    <w:rsid w:val="00BD37CD"/>
    <w:rsid w:val="00BD3FC3"/>
    <w:rsid w:val="00BE505D"/>
    <w:rsid w:val="00BF31F7"/>
    <w:rsid w:val="00BF6951"/>
    <w:rsid w:val="00C164C6"/>
    <w:rsid w:val="00C24D36"/>
    <w:rsid w:val="00C30616"/>
    <w:rsid w:val="00C40410"/>
    <w:rsid w:val="00C41BCD"/>
    <w:rsid w:val="00C659F8"/>
    <w:rsid w:val="00C7107C"/>
    <w:rsid w:val="00CB0012"/>
    <w:rsid w:val="00CE0D06"/>
    <w:rsid w:val="00D03194"/>
    <w:rsid w:val="00D1154F"/>
    <w:rsid w:val="00D30DFC"/>
    <w:rsid w:val="00D34EBB"/>
    <w:rsid w:val="00D35BE4"/>
    <w:rsid w:val="00D4058C"/>
    <w:rsid w:val="00D52DA1"/>
    <w:rsid w:val="00D80455"/>
    <w:rsid w:val="00D829FF"/>
    <w:rsid w:val="00DA2376"/>
    <w:rsid w:val="00DA7A78"/>
    <w:rsid w:val="00DC7123"/>
    <w:rsid w:val="00DD073D"/>
    <w:rsid w:val="00DE21F3"/>
    <w:rsid w:val="00DF0848"/>
    <w:rsid w:val="00E11623"/>
    <w:rsid w:val="00E16CD2"/>
    <w:rsid w:val="00E27DD7"/>
    <w:rsid w:val="00E33E07"/>
    <w:rsid w:val="00E36E9E"/>
    <w:rsid w:val="00E57ACB"/>
    <w:rsid w:val="00E62952"/>
    <w:rsid w:val="00E83E50"/>
    <w:rsid w:val="00E86038"/>
    <w:rsid w:val="00EA3DD3"/>
    <w:rsid w:val="00EB72AB"/>
    <w:rsid w:val="00EB7677"/>
    <w:rsid w:val="00EF33A2"/>
    <w:rsid w:val="00F00D4E"/>
    <w:rsid w:val="00F025CE"/>
    <w:rsid w:val="00F0454E"/>
    <w:rsid w:val="00F070C1"/>
    <w:rsid w:val="00F16773"/>
    <w:rsid w:val="00F200D0"/>
    <w:rsid w:val="00F20FB8"/>
    <w:rsid w:val="00F455AD"/>
    <w:rsid w:val="00F544EB"/>
    <w:rsid w:val="00F62AEB"/>
    <w:rsid w:val="00F64BF0"/>
    <w:rsid w:val="00F715F8"/>
    <w:rsid w:val="00F76334"/>
    <w:rsid w:val="00F87B2D"/>
    <w:rsid w:val="00FA5F51"/>
    <w:rsid w:val="00FA64E8"/>
    <w:rsid w:val="00FB506A"/>
    <w:rsid w:val="00FB639A"/>
    <w:rsid w:val="00FC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F8DB71C"/>
  <w15:chartTrackingRefBased/>
  <w15:docId w15:val="{89CC6AAC-5949-45E6-AC3C-9A4F4B3F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E116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3601"/>
    <w:rPr>
      <w:color w:val="0000FF"/>
      <w:u w:val="single"/>
    </w:rPr>
  </w:style>
  <w:style w:type="paragraph" w:customStyle="1" w:styleId="Default">
    <w:name w:val="Default"/>
    <w:rsid w:val="00A123C8"/>
    <w:pPr>
      <w:autoSpaceDE w:val="0"/>
      <w:autoSpaceDN w:val="0"/>
      <w:adjustRightInd w:val="0"/>
    </w:pPr>
    <w:rPr>
      <w:color w:val="000000"/>
      <w:sz w:val="24"/>
      <w:szCs w:val="24"/>
    </w:rPr>
  </w:style>
  <w:style w:type="character" w:styleId="FollowedHyperlink">
    <w:name w:val="FollowedHyperlink"/>
    <w:basedOn w:val="DefaultParagraphFont"/>
    <w:rsid w:val="00DA7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7431">
      <w:bodyDiv w:val="1"/>
      <w:marLeft w:val="0"/>
      <w:marRight w:val="0"/>
      <w:marTop w:val="0"/>
      <w:marBottom w:val="0"/>
      <w:divBdr>
        <w:top w:val="none" w:sz="0" w:space="0" w:color="auto"/>
        <w:left w:val="none" w:sz="0" w:space="0" w:color="auto"/>
        <w:bottom w:val="none" w:sz="0" w:space="0" w:color="auto"/>
        <w:right w:val="none" w:sz="0" w:space="0" w:color="auto"/>
      </w:divBdr>
    </w:div>
    <w:div w:id="974021394">
      <w:bodyDiv w:val="1"/>
      <w:marLeft w:val="0"/>
      <w:marRight w:val="0"/>
      <w:marTop w:val="0"/>
      <w:marBottom w:val="0"/>
      <w:divBdr>
        <w:top w:val="none" w:sz="0" w:space="0" w:color="auto"/>
        <w:left w:val="none" w:sz="0" w:space="0" w:color="auto"/>
        <w:bottom w:val="none" w:sz="0" w:space="0" w:color="auto"/>
        <w:right w:val="none" w:sz="0" w:space="0" w:color="auto"/>
      </w:divBdr>
    </w:div>
    <w:div w:id="1085304968">
      <w:bodyDiv w:val="1"/>
      <w:marLeft w:val="0"/>
      <w:marRight w:val="0"/>
      <w:marTop w:val="0"/>
      <w:marBottom w:val="0"/>
      <w:divBdr>
        <w:top w:val="none" w:sz="0" w:space="0" w:color="auto"/>
        <w:left w:val="none" w:sz="0" w:space="0" w:color="auto"/>
        <w:bottom w:val="none" w:sz="0" w:space="0" w:color="auto"/>
        <w:right w:val="none" w:sz="0" w:space="0" w:color="auto"/>
      </w:divBdr>
    </w:div>
    <w:div w:id="1314945838">
      <w:bodyDiv w:val="1"/>
      <w:marLeft w:val="0"/>
      <w:marRight w:val="0"/>
      <w:marTop w:val="0"/>
      <w:marBottom w:val="0"/>
      <w:divBdr>
        <w:top w:val="none" w:sz="0" w:space="0" w:color="auto"/>
        <w:left w:val="none" w:sz="0" w:space="0" w:color="auto"/>
        <w:bottom w:val="none" w:sz="0" w:space="0" w:color="auto"/>
        <w:right w:val="none" w:sz="0" w:space="0" w:color="auto"/>
      </w:divBdr>
    </w:div>
    <w:div w:id="21269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street.com/ashrae/standards/2023-ashrae-handbook-hvac-applications-i-p?product_id=2225673" TargetMode="External"/><Relationship Id="rId13" Type="http://schemas.openxmlformats.org/officeDocument/2006/relationships/hyperlink" Target="http://www.osha.gov" TargetMode="External"/><Relationship Id="rId3" Type="http://schemas.openxmlformats.org/officeDocument/2006/relationships/webSettings" Target="webSettings.xml"/><Relationship Id="rId7" Type="http://schemas.openxmlformats.org/officeDocument/2006/relationships/hyperlink" Target="http://www.ashrae.org" TargetMode="External"/><Relationship Id="rId12" Type="http://schemas.openxmlformats.org/officeDocument/2006/relationships/hyperlink" Target="http://www.sefalab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iha.org" TargetMode="External"/><Relationship Id="rId11" Type="http://schemas.openxmlformats.org/officeDocument/2006/relationships/hyperlink" Target="https://tc0910.ashraetcs.org/" TargetMode="External"/><Relationship Id="rId5" Type="http://schemas.openxmlformats.org/officeDocument/2006/relationships/hyperlink" Target="http://www.osha.gov" TargetMode="External"/><Relationship Id="rId15" Type="http://schemas.openxmlformats.org/officeDocument/2006/relationships/fontTable" Target="fontTable.xml"/><Relationship Id="rId10" Type="http://schemas.openxmlformats.org/officeDocument/2006/relationships/hyperlink" Target="http://www.techstreet.com/ashrae/standards/ashrae-110-2016?product_id=1914730" TargetMode="External"/><Relationship Id="rId4" Type="http://schemas.openxmlformats.org/officeDocument/2006/relationships/hyperlink" Target="http://www.techstreet.com/ashrae/standards/ashrae-110-2016?product_id=1914730" TargetMode="External"/><Relationship Id="rId9" Type="http://schemas.openxmlformats.org/officeDocument/2006/relationships/hyperlink" Target="https://www.techstreet.com/ashrae/searches/38672351" TargetMode="External"/><Relationship Id="rId14" Type="http://schemas.openxmlformats.org/officeDocument/2006/relationships/hyperlink" Target="http://www.ai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ID Number:</vt:lpstr>
    </vt:vector>
  </TitlesOfParts>
  <Company>ashrae</Company>
  <LinksUpToDate>false</LinksUpToDate>
  <CharactersWithSpaces>2145</CharactersWithSpaces>
  <SharedDoc>false</SharedDoc>
  <HLinks>
    <vt:vector size="66" baseType="variant">
      <vt:variant>
        <vt:i4>5308496</vt:i4>
      </vt:variant>
      <vt:variant>
        <vt:i4>30</vt:i4>
      </vt:variant>
      <vt:variant>
        <vt:i4>0</vt:i4>
      </vt:variant>
      <vt:variant>
        <vt:i4>5</vt:i4>
      </vt:variant>
      <vt:variant>
        <vt:lpwstr>http://www.aiha.org/</vt:lpwstr>
      </vt:variant>
      <vt:variant>
        <vt:lpwstr/>
      </vt:variant>
      <vt:variant>
        <vt:i4>4325459</vt:i4>
      </vt:variant>
      <vt:variant>
        <vt:i4>27</vt:i4>
      </vt:variant>
      <vt:variant>
        <vt:i4>0</vt:i4>
      </vt:variant>
      <vt:variant>
        <vt:i4>5</vt:i4>
      </vt:variant>
      <vt:variant>
        <vt:lpwstr>http://www.osha.gov/</vt:lpwstr>
      </vt:variant>
      <vt:variant>
        <vt:lpwstr/>
      </vt:variant>
      <vt:variant>
        <vt:i4>6160456</vt:i4>
      </vt:variant>
      <vt:variant>
        <vt:i4>24</vt:i4>
      </vt:variant>
      <vt:variant>
        <vt:i4>0</vt:i4>
      </vt:variant>
      <vt:variant>
        <vt:i4>5</vt:i4>
      </vt:variant>
      <vt:variant>
        <vt:lpwstr>http://www.sefalabs.com/</vt:lpwstr>
      </vt:variant>
      <vt:variant>
        <vt:lpwstr/>
      </vt:variant>
      <vt:variant>
        <vt:i4>3211310</vt:i4>
      </vt:variant>
      <vt:variant>
        <vt:i4>21</vt:i4>
      </vt:variant>
      <vt:variant>
        <vt:i4>0</vt:i4>
      </vt:variant>
      <vt:variant>
        <vt:i4>5</vt:i4>
      </vt:variant>
      <vt:variant>
        <vt:lpwstr>http://tc910.ashraetcs.org/</vt:lpwstr>
      </vt:variant>
      <vt:variant>
        <vt:lpwstr/>
      </vt:variant>
      <vt:variant>
        <vt:i4>1638427</vt:i4>
      </vt:variant>
      <vt:variant>
        <vt:i4>18</vt:i4>
      </vt:variant>
      <vt:variant>
        <vt:i4>0</vt:i4>
      </vt:variant>
      <vt:variant>
        <vt:i4>5</vt:i4>
      </vt:variant>
      <vt:variant>
        <vt:lpwstr>http://www.techstreet.com/standards/ashrae/110_1995?product_id=2511</vt:lpwstr>
      </vt:variant>
      <vt:variant>
        <vt:lpwstr/>
      </vt:variant>
      <vt:variant>
        <vt:i4>2555917</vt:i4>
      </vt:variant>
      <vt:variant>
        <vt:i4>15</vt:i4>
      </vt:variant>
      <vt:variant>
        <vt:i4>0</vt:i4>
      </vt:variant>
      <vt:variant>
        <vt:i4>5</vt:i4>
      </vt:variant>
      <vt:variant>
        <vt:lpwstr>http://www.techstreet.com/cgi-bin/detail?product_id=1801466</vt:lpwstr>
      </vt:variant>
      <vt:variant>
        <vt:lpwstr/>
      </vt:variant>
      <vt:variant>
        <vt:i4>3014664</vt:i4>
      </vt:variant>
      <vt:variant>
        <vt:i4>12</vt:i4>
      </vt:variant>
      <vt:variant>
        <vt:i4>0</vt:i4>
      </vt:variant>
      <vt:variant>
        <vt:i4>5</vt:i4>
      </vt:variant>
      <vt:variant>
        <vt:lpwstr>http://www.techstreet.com/cgi-bin/detail?product_id=1797866</vt:lpwstr>
      </vt:variant>
      <vt:variant>
        <vt:lpwstr/>
      </vt:variant>
      <vt:variant>
        <vt:i4>3145788</vt:i4>
      </vt:variant>
      <vt:variant>
        <vt:i4>9</vt:i4>
      </vt:variant>
      <vt:variant>
        <vt:i4>0</vt:i4>
      </vt:variant>
      <vt:variant>
        <vt:i4>5</vt:i4>
      </vt:variant>
      <vt:variant>
        <vt:lpwstr>http://www.ashrae.org/</vt:lpwstr>
      </vt:variant>
      <vt:variant>
        <vt:lpwstr/>
      </vt:variant>
      <vt:variant>
        <vt:i4>5308496</vt:i4>
      </vt:variant>
      <vt:variant>
        <vt:i4>6</vt:i4>
      </vt:variant>
      <vt:variant>
        <vt:i4>0</vt:i4>
      </vt:variant>
      <vt:variant>
        <vt:i4>5</vt:i4>
      </vt:variant>
      <vt:variant>
        <vt:lpwstr>http://www.aiha.org/</vt:lpwstr>
      </vt:variant>
      <vt:variant>
        <vt:lpwstr/>
      </vt:variant>
      <vt:variant>
        <vt:i4>4325459</vt:i4>
      </vt:variant>
      <vt:variant>
        <vt:i4>3</vt:i4>
      </vt:variant>
      <vt:variant>
        <vt:i4>0</vt:i4>
      </vt:variant>
      <vt:variant>
        <vt:i4>5</vt:i4>
      </vt:variant>
      <vt:variant>
        <vt:lpwstr>http://www.osha.gov/</vt:lpwstr>
      </vt:variant>
      <vt:variant>
        <vt:lpwstr/>
      </vt:variant>
      <vt:variant>
        <vt:i4>1638427</vt:i4>
      </vt:variant>
      <vt:variant>
        <vt:i4>0</vt:i4>
      </vt:variant>
      <vt:variant>
        <vt:i4>0</vt:i4>
      </vt:variant>
      <vt:variant>
        <vt:i4>5</vt:i4>
      </vt:variant>
      <vt:variant>
        <vt:lpwstr>http://www.techstreet.com/standards/ashrae/110_1995?product_id=2511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Number:</dc:title>
  <dc:subject/>
  <dc:creator>shammerling</dc:creator>
  <cp:keywords/>
  <cp:lastModifiedBy>Hammerling, Steve</cp:lastModifiedBy>
  <cp:revision>7</cp:revision>
  <cp:lastPrinted>2014-05-27T16:14:00Z</cp:lastPrinted>
  <dcterms:created xsi:type="dcterms:W3CDTF">2014-05-27T16:14:00Z</dcterms:created>
  <dcterms:modified xsi:type="dcterms:W3CDTF">2023-10-20T01:35:00Z</dcterms:modified>
</cp:coreProperties>
</file>